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金华市制造业新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职业项目制培训机构及项目的通知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各县（市、区）人力社保局，市直各有关单位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为贯彻落实《金华市职业技能提升行动实施方案》（金人社发〔2020〕1号）文件精神，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大力实施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职业技能提升行动计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划，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提升我市制造业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新兴职业从业人员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能力</w:t>
      </w:r>
      <w:r>
        <w:rPr>
          <w:rFonts w:hint="eastAsia" w:ascii="Times New Roman" w:hAnsi="Times New Roman" w:eastAsia="仿宋_GB2312" w:cs="仿宋_GB2312"/>
          <w:sz w:val="32"/>
          <w:szCs w:val="32"/>
        </w:rPr>
        <w:t>水平，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开展首批制造业新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兴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职业项目制培训的培训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机构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和项目征集工作，现就有关事项通知如下：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一、征集的范围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本次征集范围为拟在我市范围开展制造业新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兴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职业项目制培训机构及项目。拟推荐的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制造业新兴职业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培训机构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应有相关培训资质，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项目应适合我市制造业发展及市场需求，且无职业资格证书（国家职业资格证书、职业技能等级证书、专项能力证书）技能类职业工种的培训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二、支持政策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对申报的培训项目和资源，经专家论证后确认培训机构、培训项目，并按</w:t>
      </w:r>
      <w:r>
        <w:rPr>
          <w:rFonts w:eastAsia="仿宋_GB2312"/>
          <w:sz w:val="32"/>
        </w:rPr>
        <w:t>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关于印发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金华市区职业技能培训补贴办法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的通知</w:t>
      </w:r>
      <w:r>
        <w:rPr>
          <w:rFonts w:eastAsia="仿宋_GB2312"/>
          <w:sz w:val="32"/>
        </w:rPr>
        <w:t>》（金人社发〔2020〕</w:t>
      </w:r>
      <w:r>
        <w:rPr>
          <w:rFonts w:hint="eastAsia" w:eastAsia="仿宋_GB2312"/>
          <w:sz w:val="32"/>
          <w:lang w:val="en-US" w:eastAsia="zh-CN"/>
        </w:rPr>
        <w:t>17</w:t>
      </w:r>
      <w:r>
        <w:rPr>
          <w:rFonts w:eastAsia="仿宋_GB2312"/>
          <w:sz w:val="32"/>
        </w:rPr>
        <w:t>号）</w:t>
      </w:r>
      <w:r>
        <w:rPr>
          <w:rFonts w:hint="eastAsia" w:eastAsia="仿宋_GB2312"/>
          <w:sz w:val="32"/>
          <w:lang w:eastAsia="zh-CN"/>
        </w:rPr>
        <w:t>文件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给予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元/人的培训经费支持。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请各征集对象应充分结合我市制造业发展需要和企业实际需求，充分调研论证，提出项目制培训项目。制造业新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兴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职业首批培训机构及项目征集表加盖单位公章后，于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日前反馈市人力社保局职业能力建设处（同时报电子文档）。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联系人：陈佳晟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82469675     传真：82469663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电子邮箱：1487125459@qq.com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联系地址：金华市双龙南街801号市人力资源和社会保障局职业能力建设处（邮编321000）。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widowControl/>
        <w:spacing w:line="600" w:lineRule="atLeast"/>
        <w:ind w:firstLine="960" w:firstLineChars="300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制造业新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职业培训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征集表</w:t>
      </w:r>
    </w:p>
    <w:p>
      <w:pPr>
        <w:widowControl/>
        <w:spacing w:line="600" w:lineRule="atLeast"/>
        <w:ind w:firstLine="960" w:firstLineChars="300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2、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制造业新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兴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职业培训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机构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征集表</w:t>
      </w:r>
    </w:p>
    <w:p>
      <w:pPr>
        <w:widowControl/>
        <w:numPr>
          <w:ilvl w:val="0"/>
          <w:numId w:val="0"/>
        </w:numPr>
        <w:spacing w:line="600" w:lineRule="atLeast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金华市人力资源和社会保障局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办公室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2021年2月2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widowControl/>
        <w:spacing w:line="60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pacing w:line="60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制造业新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职业培训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征集表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单位名称：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时间：        年   月   日</w:t>
      </w:r>
    </w:p>
    <w:tbl>
      <w:tblPr>
        <w:tblStyle w:val="6"/>
        <w:tblpPr w:vertAnchor="text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511"/>
        <w:gridCol w:w="5335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53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介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主要培训人群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如：数字化管理技能等</w:t>
            </w: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主要介绍设置该培训项目主要目的、原因（重要性必要性）、产业发展和市场需求分析、就业及前景等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3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40" w:lineRule="exact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备注：如数字化管理、物联网、工业机器人等相关职业。）</w:t>
      </w:r>
    </w:p>
    <w:p>
      <w:pPr>
        <w:ind w:firstLine="630" w:firstLineChars="300"/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联系人：                                联系电话：     </w:t>
      </w:r>
    </w:p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spacing w:line="600" w:lineRule="atLeas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pacing w:line="60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制造业新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职业培训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征集表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单位名称：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时间：        年   月   日</w:t>
      </w:r>
    </w:p>
    <w:tbl>
      <w:tblPr>
        <w:tblStyle w:val="6"/>
        <w:tblpPr w:vertAnchor="text"/>
        <w:tblW w:w="89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3525"/>
        <w:gridCol w:w="1095"/>
        <w:gridCol w:w="3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2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构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称</w:t>
            </w:r>
          </w:p>
        </w:tc>
        <w:tc>
          <w:tcPr>
            <w:tcW w:w="3525" w:type="dxa"/>
            <w:tcBorders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培 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方 式</w:t>
            </w:r>
          </w:p>
        </w:tc>
        <w:tc>
          <w:tcPr>
            <w:tcW w:w="3180" w:type="dxa"/>
            <w:tcBorders>
              <w:lef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2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负责人</w:t>
            </w:r>
          </w:p>
        </w:tc>
        <w:tc>
          <w:tcPr>
            <w:tcW w:w="3525" w:type="dxa"/>
            <w:tcBorders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09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式</w:t>
            </w:r>
          </w:p>
        </w:tc>
        <w:tc>
          <w:tcPr>
            <w:tcW w:w="3180" w:type="dxa"/>
            <w:tcBorders>
              <w:left w:val="single" w:color="000000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2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构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址</w:t>
            </w:r>
          </w:p>
        </w:tc>
        <w:tc>
          <w:tcPr>
            <w:tcW w:w="780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</w:trPr>
        <w:tc>
          <w:tcPr>
            <w:tcW w:w="112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质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（教师资源、培训相关能力）</w:t>
            </w:r>
          </w:p>
        </w:tc>
        <w:tc>
          <w:tcPr>
            <w:tcW w:w="780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</w:trPr>
        <w:tc>
          <w:tcPr>
            <w:tcW w:w="1126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容</w:t>
            </w:r>
          </w:p>
        </w:tc>
        <w:tc>
          <w:tcPr>
            <w:tcW w:w="7800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>
      <w:pPr>
        <w:widowControl/>
        <w:spacing w:line="24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</w:pP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联系人：                               联系电话：   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0113F6"/>
    <w:rsid w:val="003B5AFF"/>
    <w:rsid w:val="006C5B70"/>
    <w:rsid w:val="00825481"/>
    <w:rsid w:val="009E1AFF"/>
    <w:rsid w:val="00CE5DAD"/>
    <w:rsid w:val="00DC2B86"/>
    <w:rsid w:val="00F342F1"/>
    <w:rsid w:val="044D5DA1"/>
    <w:rsid w:val="0535636E"/>
    <w:rsid w:val="054744C9"/>
    <w:rsid w:val="067270AE"/>
    <w:rsid w:val="06E5169B"/>
    <w:rsid w:val="090503AC"/>
    <w:rsid w:val="0EF8331C"/>
    <w:rsid w:val="13CB099B"/>
    <w:rsid w:val="198648AE"/>
    <w:rsid w:val="2110725A"/>
    <w:rsid w:val="21DA3096"/>
    <w:rsid w:val="2B29465A"/>
    <w:rsid w:val="2FDB2EA0"/>
    <w:rsid w:val="326422F1"/>
    <w:rsid w:val="3BE00B78"/>
    <w:rsid w:val="3CD03A4E"/>
    <w:rsid w:val="3E4C6815"/>
    <w:rsid w:val="3F0B4DD8"/>
    <w:rsid w:val="46B9524D"/>
    <w:rsid w:val="47663816"/>
    <w:rsid w:val="4B9B58CB"/>
    <w:rsid w:val="522C468F"/>
    <w:rsid w:val="536C1E1C"/>
    <w:rsid w:val="53882772"/>
    <w:rsid w:val="562E7EA5"/>
    <w:rsid w:val="57137800"/>
    <w:rsid w:val="606E717A"/>
    <w:rsid w:val="612B17BC"/>
    <w:rsid w:val="65685987"/>
    <w:rsid w:val="67703558"/>
    <w:rsid w:val="683E37B6"/>
    <w:rsid w:val="6EB2157B"/>
    <w:rsid w:val="73643D2E"/>
    <w:rsid w:val="750336AE"/>
    <w:rsid w:val="78333681"/>
    <w:rsid w:val="7B0113F6"/>
    <w:rsid w:val="7EE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Vrinda"/>
      <w:kern w:val="0"/>
      <w:sz w:val="24"/>
      <w:lang w:bidi="as-I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市直属机关工委</Company>
  <Pages>4</Pages>
  <Words>146</Words>
  <Characters>835</Characters>
  <Lines>6</Lines>
  <Paragraphs>1</Paragraphs>
  <TotalTime>1</TotalTime>
  <ScaleCrop>false</ScaleCrop>
  <LinksUpToDate>false</LinksUpToDate>
  <CharactersWithSpaces>980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2021-02-20T08:14:00Z</dcterms:created>
  <dc:creator>lenovco</dc:creator>
  <cp:lastModifiedBy>zl</cp:lastModifiedBy>
  <cp:lastPrinted>2021-02-23T07:15:00Z</cp:lastPrinted>
  <dcterms:modified xsi:type="dcterms:W3CDTF">2021-02-24T00:43:49Z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