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金华市人力资源和社会保障局关于公布部分废止失效和部分条款修改行政规范性文件目录的通知</w:t>
      </w:r>
    </w:p>
    <w:p>
      <w:pPr>
        <w:pStyle w:val="2"/>
        <w:keepNext w:val="0"/>
        <w:keepLines w:val="0"/>
        <w:widowControl/>
        <w:suppressLineNumbers w:val="0"/>
        <w:spacing w:line="30" w:lineRule="atLeast"/>
        <w:jc w:val="both"/>
        <w:rPr>
          <w:rFonts w:hint="eastAsia" w:ascii="仿宋_GB2312" w:hAnsi="仿宋_GB2312" w:eastAsia="仿宋_GB2312" w:cs="仿宋_GB2312"/>
          <w:sz w:val="32"/>
          <w:szCs w:val="32"/>
          <w:lang w:eastAsia="zh-CN"/>
        </w:rPr>
      </w:pPr>
    </w:p>
    <w:p>
      <w:pPr>
        <w:pStyle w:val="2"/>
        <w:keepNext w:val="0"/>
        <w:keepLines w:val="0"/>
        <w:widowControl/>
        <w:suppressLineNumbers w:val="0"/>
        <w:spacing w:line="30" w:lineRule="atLeas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局机关各处室，局属各单位：</w:t>
      </w:r>
    </w:p>
    <w:p>
      <w:pPr>
        <w:pStyle w:val="2"/>
        <w:keepNext w:val="0"/>
        <w:keepLines w:val="0"/>
        <w:widowControl/>
        <w:suppressLineNumbers w:val="0"/>
        <w:spacing w:line="30"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为全面推进依法行政、加快法治政府建设，根据《浙江省行政规范性文件管理办法》（浙江省人民政府令372号）的要求，对我局发布的行政规范性文件进行清理，清理出废止失效行政规范性文件</w:t>
      </w:r>
      <w:r>
        <w:rPr>
          <w:rFonts w:hint="eastAsia" w:ascii="仿宋_GB2312" w:hAnsi="仿宋_GB2312" w:eastAsia="仿宋_GB2312" w:cs="仿宋_GB2312"/>
          <w:sz w:val="32"/>
          <w:szCs w:val="32"/>
          <w:lang w:val="en-US" w:eastAsia="zh-CN"/>
        </w:rPr>
        <w:t>9件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部分条款修改行政规范性文件</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现将文件目录予以公布，请按照执行。</w:t>
      </w:r>
    </w:p>
    <w:p>
      <w:pPr>
        <w:pStyle w:val="2"/>
        <w:keepNext w:val="0"/>
        <w:keepLines w:val="0"/>
        <w:widowControl/>
        <w:suppressLineNumbers w:val="0"/>
        <w:spacing w:line="30"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本通知自20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日起实施。</w:t>
      </w:r>
    </w:p>
    <w:p>
      <w:pPr>
        <w:pStyle w:val="2"/>
        <w:keepNext w:val="0"/>
        <w:keepLines w:val="0"/>
        <w:widowControl/>
        <w:suppressLineNumbers w:val="0"/>
        <w:ind w:firstLine="640" w:firstLineChars="200"/>
        <w:rPr>
          <w:rFonts w:hint="eastAsia" w:ascii="仿宋_GB2312" w:hAnsi="仿宋_GB2312" w:eastAsia="仿宋_GB2312" w:cs="仿宋_GB2312"/>
          <w:sz w:val="32"/>
          <w:szCs w:val="32"/>
        </w:rPr>
      </w:pP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部分废止失效</w:t>
      </w:r>
      <w:r>
        <w:rPr>
          <w:rFonts w:hint="eastAsia" w:ascii="仿宋_GB2312" w:hAnsi="仿宋_GB2312" w:eastAsia="仿宋_GB2312" w:cs="仿宋_GB2312"/>
          <w:sz w:val="32"/>
          <w:szCs w:val="32"/>
        </w:rPr>
        <w:t>行政规范性文件目录</w:t>
      </w:r>
    </w:p>
    <w:p>
      <w:pPr>
        <w:pStyle w:val="2"/>
        <w:keepNext w:val="0"/>
        <w:keepLines w:val="0"/>
        <w:widowControl/>
        <w:suppressLineNumbers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2.部分条款修改行政规范性政规范性文件目录</w:t>
      </w:r>
    </w:p>
    <w:p>
      <w:pPr>
        <w:pStyle w:val="2"/>
        <w:keepNext w:val="0"/>
        <w:keepLines w:val="0"/>
        <w:widowControl/>
        <w:suppressLineNumbers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widowControl/>
        <w:suppressLineNumbers w:val="0"/>
        <w:spacing w:line="30" w:lineRule="atLeas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金华市人力资源和社会保障局</w:t>
      </w:r>
    </w:p>
    <w:p>
      <w:pPr>
        <w:pStyle w:val="2"/>
        <w:keepNext w:val="0"/>
        <w:keepLines w:val="0"/>
        <w:widowControl/>
        <w:suppressLineNumbers w:val="0"/>
        <w:spacing w:line="30" w:lineRule="atLeas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日</w:t>
      </w:r>
    </w:p>
    <w:p>
      <w:pPr>
        <w:pStyle w:val="2"/>
        <w:keepNext w:val="0"/>
        <w:keepLines w:val="0"/>
        <w:widowControl/>
        <w:suppressLineNumbers w:val="0"/>
        <w:spacing w:line="30" w:lineRule="atLeast"/>
        <w:jc w:val="center"/>
        <w:rPr>
          <w:rFonts w:hint="eastAsia" w:ascii="仿宋_GB2312" w:hAnsi="仿宋_GB2312" w:eastAsia="仿宋_GB2312" w:cs="仿宋_GB2312"/>
          <w:sz w:val="32"/>
          <w:szCs w:val="32"/>
          <w:lang w:eastAsia="zh-CN"/>
        </w:rPr>
      </w:pPr>
    </w:p>
    <w:p>
      <w:pPr>
        <w:pStyle w:val="2"/>
        <w:keepNext w:val="0"/>
        <w:keepLines w:val="0"/>
        <w:widowControl/>
        <w:suppressLineNumbers w:val="0"/>
        <w:spacing w:line="30" w:lineRule="atLeast"/>
        <w:jc w:val="center"/>
        <w:rPr>
          <w:rFonts w:hint="eastAsia" w:ascii="仿宋_GB2312" w:hAnsi="仿宋_GB2312" w:eastAsia="仿宋_GB2312" w:cs="仿宋_GB2312"/>
          <w:sz w:val="32"/>
          <w:szCs w:val="32"/>
          <w:lang w:eastAsia="zh-CN"/>
        </w:rPr>
      </w:pPr>
      <w:bookmarkStart w:id="0" w:name="_GoBack"/>
      <w:bookmarkEnd w:id="0"/>
    </w:p>
    <w:p/>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eastAsia="方正小标宋简体"/>
          <w:sz w:val="44"/>
          <w:szCs w:val="44"/>
          <w:lang w:eastAsia="zh-CN"/>
        </w:rPr>
      </w:pPr>
      <w:r>
        <w:rPr>
          <w:rFonts w:hint="eastAsia" w:eastAsia="方正小标宋简体"/>
          <w:sz w:val="44"/>
          <w:szCs w:val="44"/>
          <w:lang w:eastAsia="zh-CN"/>
        </w:rPr>
        <w:t>金华市人力资源和社会保障局</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eastAsia="方正小标宋简体"/>
          <w:sz w:val="44"/>
          <w:szCs w:val="44"/>
          <w:lang w:eastAsia="zh-CN"/>
        </w:rPr>
      </w:pPr>
      <w:r>
        <w:rPr>
          <w:rFonts w:hint="eastAsia" w:eastAsia="方正小标宋简体"/>
          <w:sz w:val="44"/>
          <w:szCs w:val="44"/>
          <w:lang w:eastAsia="zh-CN"/>
        </w:rPr>
        <w:t>部分废止失效行政规范性文件目录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方正小标宋简体"/>
          <w:sz w:val="21"/>
          <w:szCs w:val="21"/>
          <w:lang w:eastAsia="zh-CN"/>
        </w:rPr>
      </w:pPr>
    </w:p>
    <w:tbl>
      <w:tblPr>
        <w:tblStyle w:val="4"/>
        <w:tblW w:w="13039" w:type="dxa"/>
        <w:tblInd w:w="-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1"/>
        <w:gridCol w:w="4242"/>
        <w:gridCol w:w="1917"/>
        <w:gridCol w:w="2265"/>
        <w:gridCol w:w="2001"/>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6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0" w:hRule="exac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关于印发《金华市区技师（高级技师）政府津贴实施办法》的通知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金市劳通〔2009〕65号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废止。已被金人社发〔2018〕112号文件替代。</w:t>
            </w:r>
          </w:p>
        </w:tc>
        <w:tc>
          <w:tcPr>
            <w:tcW w:w="2001" w:type="dxa"/>
            <w:shd w:val="clear" w:color="auto" w:fill="auto"/>
            <w:vAlign w:val="bottom"/>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2173"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金人社发〔2018〕112号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1130" w:hRule="exac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关于建立金华市技能大师工作室的通知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金人社发〔2013〕57号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废止。已被金人社发〔2018〕63号文件替代。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5" w:hRule="exac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关于建立金华市职业技能教育名师工作室的通知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金人社发〔2013〕58号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废止。已被金人社发〔2018〕63号文件替代。</w:t>
            </w:r>
          </w:p>
        </w:tc>
        <w:tc>
          <w:tcPr>
            <w:tcW w:w="2001" w:type="dxa"/>
            <w:shd w:val="clear" w:color="auto" w:fill="auto"/>
            <w:vAlign w:val="bottom"/>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2173"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1140" w:hRule="exac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关于印发《金华市技师综合评审实施办法》的通知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金人社发〔2014〕39号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废止。参照人社部发〔2017〕68号文件执行。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1094"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金华市人力资源和社会保障局关于印发《金华市区小额工伤保险待遇结算办法》的通知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金人社发〔2015〕25号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废止。参照《浙江省工伤保险条例》执行。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1134"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关于调整城乡居民基本养老保险基础养老金标准的通知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金人社发〔2017〕46号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废止。已被金人社发〔2019〕85号文件替代。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1860" w:hRule="exac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《金华市高技能人才直接认定实施办法（试行）》</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金人社发〔2020〕27号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废止。根据人社职司便函〔2020〕17号文件，分步取消技能人员水平评价类职业资格等级认定。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92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关于印发《金华市青年创客工场认定管理办法（试行）》的通知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金人社发〔2015〕67号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失效。文件已过有效期。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4174" w:type="dxa"/>
          <w:trHeight w:val="54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《金华市人力资源和社会保障局  金华市财政局  金华市住房和城乡建设局关于印发&lt;关于进一步加强金华市区人才住房保障工作实施细则&gt;的通知》</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金人社发〔2014〕115号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失效。阶段性工作已完成。</w:t>
            </w:r>
          </w:p>
        </w:tc>
      </w:tr>
    </w:tbl>
    <w:p>
      <w:pPr>
        <w:jc w:val="both"/>
        <w:rPr>
          <w:rFonts w:hint="eastAsia" w:eastAsia="方正小标宋简体"/>
          <w:sz w:val="44"/>
          <w:szCs w:val="44"/>
          <w:lang w:eastAsia="zh-CN"/>
        </w:rPr>
        <w:sectPr>
          <w:pgSz w:w="11906" w:h="16838"/>
          <w:pgMar w:top="1440" w:right="1803" w:bottom="1440" w:left="1803"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eastAsia="方正小标宋简体"/>
          <w:sz w:val="44"/>
          <w:szCs w:val="44"/>
          <w:lang w:eastAsia="zh-CN"/>
        </w:rPr>
      </w:pPr>
      <w:r>
        <w:rPr>
          <w:rFonts w:hint="eastAsia" w:eastAsia="方正小标宋简体"/>
          <w:sz w:val="44"/>
          <w:szCs w:val="44"/>
          <w:lang w:eastAsia="zh-CN"/>
        </w:rPr>
        <w:t>金华市人力资源和社会保障局</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eastAsia="方正小标宋简体"/>
          <w:sz w:val="44"/>
          <w:szCs w:val="44"/>
        </w:rPr>
      </w:pPr>
      <w:r>
        <w:rPr>
          <w:rFonts w:eastAsia="方正小标宋简体"/>
          <w:sz w:val="44"/>
          <w:szCs w:val="44"/>
        </w:rPr>
        <w:t>部分条款修改的行政规范性文件目录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方正小标宋简体"/>
          <w:sz w:val="21"/>
          <w:szCs w:val="21"/>
          <w:lang w:eastAsia="zh-CN"/>
        </w:rPr>
      </w:pPr>
    </w:p>
    <w:tbl>
      <w:tblPr>
        <w:tblStyle w:val="4"/>
        <w:tblW w:w="14981" w:type="dxa"/>
        <w:jc w:val="center"/>
        <w:tblInd w:w="-1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407"/>
        <w:gridCol w:w="1773"/>
        <w:gridCol w:w="4687"/>
        <w:gridCol w:w="5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846" w:type="dxa"/>
            <w:vAlign w:val="center"/>
          </w:tcPr>
          <w:p>
            <w:pPr>
              <w:snapToGrid w:val="0"/>
              <w:rPr>
                <w:rFonts w:eastAsia="黑体"/>
                <w:szCs w:val="21"/>
              </w:rPr>
            </w:pPr>
            <w:r>
              <w:rPr>
                <w:rFonts w:eastAsia="黑体"/>
                <w:szCs w:val="21"/>
              </w:rPr>
              <w:t>序号</w:t>
            </w:r>
          </w:p>
        </w:tc>
        <w:tc>
          <w:tcPr>
            <w:tcW w:w="2407" w:type="dxa"/>
            <w:vAlign w:val="center"/>
          </w:tcPr>
          <w:p>
            <w:pPr>
              <w:snapToGrid w:val="0"/>
              <w:jc w:val="center"/>
              <w:rPr>
                <w:rFonts w:eastAsia="黑体"/>
                <w:szCs w:val="21"/>
              </w:rPr>
            </w:pPr>
            <w:r>
              <w:rPr>
                <w:rFonts w:eastAsia="黑体"/>
                <w:szCs w:val="21"/>
              </w:rPr>
              <w:t>文件名称</w:t>
            </w:r>
          </w:p>
        </w:tc>
        <w:tc>
          <w:tcPr>
            <w:tcW w:w="1773" w:type="dxa"/>
            <w:vAlign w:val="center"/>
          </w:tcPr>
          <w:p>
            <w:pPr>
              <w:snapToGrid w:val="0"/>
              <w:jc w:val="center"/>
              <w:rPr>
                <w:rFonts w:eastAsia="黑体"/>
                <w:szCs w:val="21"/>
              </w:rPr>
            </w:pPr>
            <w:r>
              <w:rPr>
                <w:rFonts w:eastAsia="黑体"/>
                <w:szCs w:val="21"/>
              </w:rPr>
              <w:t>文号</w:t>
            </w:r>
          </w:p>
        </w:tc>
        <w:tc>
          <w:tcPr>
            <w:tcW w:w="4687" w:type="dxa"/>
            <w:vAlign w:val="center"/>
          </w:tcPr>
          <w:p>
            <w:pPr>
              <w:snapToGrid w:val="0"/>
              <w:jc w:val="center"/>
              <w:rPr>
                <w:rFonts w:eastAsia="黑体"/>
                <w:szCs w:val="21"/>
              </w:rPr>
            </w:pPr>
            <w:r>
              <w:rPr>
                <w:rFonts w:eastAsia="黑体"/>
                <w:szCs w:val="21"/>
              </w:rPr>
              <w:t>原条款内容</w:t>
            </w:r>
          </w:p>
        </w:tc>
        <w:tc>
          <w:tcPr>
            <w:tcW w:w="5268" w:type="dxa"/>
            <w:vAlign w:val="center"/>
          </w:tcPr>
          <w:p>
            <w:pPr>
              <w:snapToGrid w:val="0"/>
              <w:jc w:val="center"/>
              <w:rPr>
                <w:rFonts w:eastAsia="黑体"/>
                <w:szCs w:val="21"/>
              </w:rPr>
            </w:pPr>
            <w:r>
              <w:rPr>
                <w:rFonts w:eastAsia="黑体"/>
                <w:szCs w:val="21"/>
              </w:rPr>
              <w:t>修改后条款内容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2" w:hRule="atLeast"/>
          <w:jc w:val="center"/>
        </w:trPr>
        <w:tc>
          <w:tcPr>
            <w:tcW w:w="846" w:type="dxa"/>
            <w:vAlign w:val="center"/>
          </w:tcPr>
          <w:p>
            <w:pPr>
              <w:pStyle w:val="6"/>
              <w:numPr>
                <w:ilvl w:val="0"/>
                <w:numId w:val="1"/>
              </w:numPr>
              <w:tabs>
                <w:tab w:val="left" w:pos="0"/>
              </w:tabs>
              <w:snapToGrid w:val="0"/>
              <w:spacing w:line="260" w:lineRule="exact"/>
              <w:ind w:firstLineChars="0"/>
              <w:jc w:val="center"/>
              <w:rPr>
                <w:sz w:val="21"/>
                <w:szCs w:val="21"/>
              </w:rPr>
            </w:pPr>
          </w:p>
        </w:tc>
        <w:tc>
          <w:tcPr>
            <w:tcW w:w="240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关于印发《金华市区建筑施工企业从业人员参加工伤保险实施办法》的通知</w:t>
            </w:r>
          </w:p>
        </w:tc>
        <w:tc>
          <w:tcPr>
            <w:tcW w:w="1773"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金市劳通〔2008〕49号</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第五条第二款 建筑施工企业申报的参保职工的工伤保险关系，自申报核定次日起生效。因建设工程需要临时增加或调用的从业人员，其在15日之内发生工伤事故的，建筑施工企业应在申请工伤认定的同时……。</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第八条第三款 五级至十级工伤从业人员在建设项目工伤保险期限内提出与建筑施工企业终止或解除劳动关系的，建筑施工企业应当按有关规定向其支付一次性工伤医疗补助金和伤残就业补助金我，并终止工伤保险关系。</w:t>
            </w:r>
          </w:p>
        </w:tc>
        <w:tc>
          <w:tcPr>
            <w:tcW w:w="5268"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第五条第二款  建筑施工企业申报的参保职工的工伤保险关系，自申报核定次日起生效。</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第八条第一款第二款第四款删除。</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第八条第三款  五级至十级工伤从业人员在建设项目工伤保险期限内提出与建筑施工企业终止或解除劳动关系的，由工伤保险基金支付一次性工伤医疗补助金，由建筑施工企业支付一次性伤残就业补助金，并终止工伤保险关系。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jc w:val="center"/>
        </w:trPr>
        <w:tc>
          <w:tcPr>
            <w:tcW w:w="846" w:type="dxa"/>
            <w:vAlign w:val="center"/>
          </w:tcPr>
          <w:p>
            <w:pPr>
              <w:pStyle w:val="6"/>
              <w:numPr>
                <w:ilvl w:val="0"/>
                <w:numId w:val="1"/>
              </w:numPr>
              <w:tabs>
                <w:tab w:val="left" w:pos="0"/>
              </w:tabs>
              <w:snapToGrid w:val="0"/>
              <w:spacing w:line="260" w:lineRule="exact"/>
              <w:ind w:firstLineChars="0"/>
              <w:jc w:val="center"/>
              <w:rPr>
                <w:sz w:val="21"/>
                <w:szCs w:val="21"/>
              </w:rPr>
            </w:pPr>
          </w:p>
        </w:tc>
        <w:tc>
          <w:tcPr>
            <w:tcW w:w="2407" w:type="dxa"/>
            <w:vAlign w:val="center"/>
          </w:tcPr>
          <w:p>
            <w:pPr>
              <w:keepNext w:val="0"/>
              <w:keepLines w:val="0"/>
              <w:widowControl/>
              <w:suppressLineNumbers w:val="0"/>
              <w:jc w:val="left"/>
              <w:textAlignment w:val="center"/>
              <w:rPr>
                <w:rFonts w:hint="eastAsia"/>
                <w:kern w:val="0"/>
                <w:sz w:val="21"/>
                <w:szCs w:val="21"/>
              </w:rPr>
            </w:pPr>
            <w:r>
              <w:rPr>
                <w:rFonts w:hint="eastAsia" w:ascii="仿宋_GB2312" w:hAnsi="宋体" w:eastAsia="仿宋_GB2312" w:cs="仿宋_GB2312"/>
                <w:i w:val="0"/>
                <w:color w:val="000000"/>
                <w:kern w:val="0"/>
                <w:sz w:val="24"/>
                <w:szCs w:val="24"/>
                <w:u w:val="none"/>
                <w:lang w:val="en-US" w:eastAsia="zh-CN" w:bidi="ar"/>
              </w:rPr>
              <w:t>金华市人力资源和社会保障局 金华市财政局关于印发《金华市社会保险基金监督举报奖励办法》的通知</w:t>
            </w:r>
          </w:p>
        </w:tc>
        <w:tc>
          <w:tcPr>
            <w:tcW w:w="1773" w:type="dxa"/>
            <w:vAlign w:val="center"/>
          </w:tcPr>
          <w:p>
            <w:pPr>
              <w:keepNext w:val="0"/>
              <w:keepLines w:val="0"/>
              <w:widowControl/>
              <w:suppressLineNumbers w:val="0"/>
              <w:jc w:val="left"/>
              <w:textAlignment w:val="center"/>
              <w:rPr>
                <w:rFonts w:hint="eastAsia"/>
                <w:kern w:val="0"/>
                <w:sz w:val="21"/>
                <w:szCs w:val="21"/>
              </w:rPr>
            </w:pPr>
            <w:r>
              <w:rPr>
                <w:rFonts w:hint="eastAsia" w:ascii="仿宋_GB2312" w:hAnsi="宋体" w:eastAsia="仿宋_GB2312" w:cs="仿宋_GB2312"/>
                <w:i w:val="0"/>
                <w:color w:val="000000"/>
                <w:kern w:val="0"/>
                <w:sz w:val="24"/>
                <w:szCs w:val="24"/>
                <w:u w:val="none"/>
                <w:lang w:val="en-US" w:eastAsia="zh-CN" w:bidi="ar"/>
              </w:rPr>
              <w:t>金人社发〔2015〕57号</w:t>
            </w:r>
          </w:p>
        </w:tc>
        <w:tc>
          <w:tcPr>
            <w:tcW w:w="4687" w:type="dxa"/>
            <w:vAlign w:val="center"/>
          </w:tcPr>
          <w:p>
            <w:pPr>
              <w:keepNext w:val="0"/>
              <w:keepLines w:val="0"/>
              <w:widowControl/>
              <w:suppressLineNumbers w:val="0"/>
              <w:jc w:val="left"/>
              <w:textAlignment w:val="center"/>
              <w:rPr>
                <w:rFonts w:ascii="仿宋_GB2312"/>
                <w:szCs w:val="21"/>
              </w:rPr>
            </w:pPr>
            <w:r>
              <w:rPr>
                <w:rFonts w:hint="eastAsia" w:ascii="仿宋_GB2312" w:hAnsi="宋体" w:eastAsia="仿宋_GB2312" w:cs="仿宋_GB2312"/>
                <w:i w:val="0"/>
                <w:color w:val="000000"/>
                <w:kern w:val="0"/>
                <w:sz w:val="24"/>
                <w:szCs w:val="24"/>
                <w:u w:val="none"/>
                <w:lang w:val="en-US" w:eastAsia="zh-CN" w:bidi="ar"/>
              </w:rPr>
              <w:t>第三条  本办法所称社会保险基金，包括职工基本养老保险基金、职工基本医疗保险基金、失业保险基金、工伤保险基金、生育保险基金、机关事业养老保险基金、城乡居民基本养老保险基金、城乡居民基本医疗保险基金、被征地农民基本生活保障基金以及再就业工程专项经费等。</w:t>
            </w:r>
          </w:p>
        </w:tc>
        <w:tc>
          <w:tcPr>
            <w:tcW w:w="5268"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第三条  本办法所称社会保险基金，包括职工基本养老保险基金、失业保险基金、工伤保险基金、机关事业养老保险基金、城乡居民基本养老保险基金、被征地农民基本生活保障基金以及再就业工程专项经费等。</w:t>
            </w:r>
          </w:p>
          <w:p>
            <w:pPr>
              <w:keepNext w:val="0"/>
              <w:keepLines w:val="0"/>
              <w:widowControl/>
              <w:suppressLineNumbers w:val="0"/>
              <w:jc w:val="left"/>
              <w:textAlignment w:val="center"/>
              <w:rPr>
                <w:rFonts w:hint="eastAsia"/>
                <w:kern w:val="0"/>
                <w:sz w:val="21"/>
                <w:szCs w:val="21"/>
              </w:rPr>
            </w:pPr>
          </w:p>
        </w:tc>
      </w:tr>
    </w:tbl>
    <w:p/>
    <w:sectPr>
      <w:pgSz w:w="16838" w:h="11906" w:orient="landscape"/>
      <w:pgMar w:top="1134" w:right="1440" w:bottom="1134"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宋体； WIDTH : 100%">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华康简标题宋">
    <w:altName w:val="宋体"/>
    <w:panose1 w:val="0201060900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monospace">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aco">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ˎ̥">
    <w:altName w:val="微软雅黑"/>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KaiTi_GB2312">
    <w:altName w:val="宋体"/>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KaiTi_GB2312">
    <w:altName w:val="Segoe Print"/>
    <w:panose1 w:val="00000000000000000000"/>
    <w:charset w:val="00"/>
    <w:family w:val="auto"/>
    <w:pitch w:val="default"/>
    <w:sig w:usb0="00000000" w:usb1="00000000" w:usb2="00000000" w:usb3="00000000" w:csb0="00000000" w:csb1="00000000"/>
  </w:font>
  <w:font w:name="Source Han Sans SC Regular">
    <w:altName w:val="宋体"/>
    <w:panose1 w:val="00000000000000000000"/>
    <w:charset w:val="86"/>
    <w:family w:val="swiss"/>
    <w:pitch w:val="default"/>
    <w:sig w:usb0="00000000" w:usb1="00000000" w:usb2="00000010" w:usb3="00000000" w:csb0="0004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pple-system-fon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E0D"/>
    <w:multiLevelType w:val="multilevel"/>
    <w:tmpl w:val="205B0E0D"/>
    <w:lvl w:ilvl="0" w:tentative="0">
      <w:start w:val="1"/>
      <w:numFmt w:val="decimal"/>
      <w:lvlText w:val="%1"/>
      <w:lvlJc w:val="right"/>
      <w:pPr>
        <w:ind w:left="420" w:hanging="42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82627"/>
    <w:rsid w:val="06AD6966"/>
    <w:rsid w:val="0F3C0968"/>
    <w:rsid w:val="12D2225F"/>
    <w:rsid w:val="18EF7635"/>
    <w:rsid w:val="1D882627"/>
    <w:rsid w:val="2C141463"/>
    <w:rsid w:val="36ED13F4"/>
    <w:rsid w:val="394616DE"/>
    <w:rsid w:val="478E1EE1"/>
    <w:rsid w:val="64930C3F"/>
    <w:rsid w:val="748D374B"/>
    <w:rsid w:val="791C0A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List Paragraph"/>
    <w:basedOn w:val="1"/>
    <w:qFormat/>
    <w:uiPriority w:val="34"/>
    <w:pPr>
      <w:spacing w:line="560" w:lineRule="exact"/>
      <w:ind w:firstLine="420" w:firstLineChars="200"/>
    </w:pPr>
    <w:rPr>
      <w:rFonts w:ascii="Times New Roman" w:hAnsi="Times New Roman" w:eastAsia="仿宋_GB2312" w:cs="Times New Roman"/>
      <w:sz w:val="32"/>
      <w:szCs w:val="32"/>
    </w:rPr>
  </w:style>
  <w:style w:type="paragraph" w:customStyle="1" w:styleId="7">
    <w:name w:val="p0"/>
    <w:basedOn w:val="1"/>
    <w:qFormat/>
    <w:uiPriority w:val="0"/>
    <w:pPr>
      <w:widowControl/>
    </w:pPr>
    <w:rPr>
      <w:rFonts w:ascii="Calibri" w:hAnsi="Calibri" w:eastAsia="宋体" w:cs="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市人力社保局</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2020-12-18T07:42:00Z</dcterms:created>
  <dc:creator>戴欣斐</dc:creator>
  <cp:lastModifiedBy>戴欣斐</cp:lastModifiedBy>
  <cp:lastPrinted>2020-12-23T01:06:50Z</cp:lastPrinted>
  <dcterms:modified xsi:type="dcterms:W3CDTF">2020-12-23T01:25:25Z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